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360"/>
        <w:jc w:val="center"/>
        <w:rPr>
          <w:rFonts w:ascii="Lato Black" w:cs="Lato Black" w:eastAsia="Lato Black" w:hAnsi="Lato Black"/>
          <w:color w:val="4791ce"/>
          <w:sz w:val="24"/>
          <w:szCs w:val="24"/>
        </w:rPr>
      </w:pPr>
      <w:r w:rsidDel="00000000" w:rsidR="00000000" w:rsidRPr="00000000">
        <w:rPr>
          <w:rFonts w:ascii="Lato Black" w:cs="Lato Black" w:eastAsia="Lato Black" w:hAnsi="Lato Black"/>
          <w:color w:val="4791ce"/>
          <w:sz w:val="24"/>
          <w:szCs w:val="24"/>
          <w:rtl w:val="0"/>
        </w:rPr>
        <w:t xml:space="preserve">SAMPLE INVESTMENT POLICY STATEMENT</w:t>
      </w:r>
      <w:r w:rsidDel="00000000" w:rsidR="00000000" w:rsidRPr="00000000">
        <w:rPr>
          <w:rtl w:val="0"/>
        </w:rPr>
      </w:r>
    </w:p>
    <w:p w:rsidR="00000000" w:rsidDel="00000000" w:rsidP="00000000" w:rsidRDefault="00000000" w:rsidRPr="00000000" w14:paraId="00000002">
      <w:pPr>
        <w:pageBreakBefore w:val="0"/>
        <w:ind w:right="-360"/>
        <w:jc w:val="center"/>
        <w:rPr>
          <w:rFonts w:ascii="Lato Black" w:cs="Lato Black" w:eastAsia="Lato Black" w:hAnsi="Lato Black"/>
          <w:color w:val="4791ce"/>
          <w:sz w:val="24"/>
          <w:szCs w:val="24"/>
        </w:rPr>
      </w:pPr>
      <w:r w:rsidDel="00000000" w:rsidR="00000000" w:rsidRPr="00000000">
        <w:rPr>
          <w:rtl w:val="0"/>
        </w:rPr>
      </w:r>
    </w:p>
    <w:p w:rsidR="00000000" w:rsidDel="00000000" w:rsidP="00000000" w:rsidRDefault="00000000" w:rsidRPr="00000000" w14:paraId="00000003">
      <w:pPr>
        <w:pageBreakBefore w:val="0"/>
        <w:ind w:right="-360"/>
        <w:jc w:val="both"/>
        <w:rPr>
          <w:rFonts w:ascii="Lato" w:cs="Lato" w:eastAsia="Lato" w:hAnsi="Lato"/>
          <w:i w:val="1"/>
          <w:color w:val="4791ce"/>
        </w:rPr>
      </w:pPr>
      <w:r w:rsidDel="00000000" w:rsidR="00000000" w:rsidRPr="00000000">
        <w:rPr>
          <w:rFonts w:ascii="Lato" w:cs="Lato" w:eastAsia="Lato" w:hAnsi="Lato"/>
          <w:b w:val="1"/>
          <w:i w:val="1"/>
          <w:color w:val="434344"/>
          <w:sz w:val="20"/>
          <w:szCs w:val="20"/>
          <w:rtl w:val="0"/>
        </w:rPr>
        <w:t xml:space="preserve">Disclaimer: </w:t>
      </w:r>
      <w:r w:rsidDel="00000000" w:rsidR="00000000" w:rsidRPr="00000000">
        <w:rPr>
          <w:rFonts w:ascii="Lato" w:cs="Lato" w:eastAsia="Lato" w:hAnsi="Lato"/>
          <w:i w:val="1"/>
          <w:color w:val="434344"/>
          <w:sz w:val="20"/>
          <w:szCs w:val="20"/>
          <w:rtl w:val="0"/>
        </w:rPr>
        <w:t xml:space="preserve">This IPS is presented as a sample document and is hypothetical and presented for informational purposes only. Please consult with your legal counsel and financial advisor(s) when drafting your IPS.</w:t>
      </w:r>
      <w:r w:rsidDel="00000000" w:rsidR="00000000" w:rsidRPr="00000000">
        <w:rPr>
          <w:rtl w:val="0"/>
        </w:rPr>
      </w:r>
    </w:p>
    <w:p w:rsidR="00000000" w:rsidDel="00000000" w:rsidP="00000000" w:rsidRDefault="00000000" w:rsidRPr="00000000" w14:paraId="00000004">
      <w:pPr>
        <w:pageBreakBefore w:val="0"/>
        <w:ind w:right="-360"/>
        <w:jc w:val="both"/>
        <w:rPr>
          <w:rFonts w:ascii="Lato" w:cs="Lato" w:eastAsia="Lato" w:hAnsi="Lato"/>
          <w:b w:val="1"/>
          <w:color w:val="4791ce"/>
          <w:sz w:val="24"/>
          <w:szCs w:val="24"/>
        </w:rPr>
      </w:pPr>
      <w:r w:rsidDel="00000000" w:rsidR="00000000" w:rsidRPr="00000000">
        <w:rPr>
          <w:rtl w:val="0"/>
        </w:rPr>
      </w:r>
    </w:p>
    <w:p w:rsidR="00000000" w:rsidDel="00000000" w:rsidP="00000000" w:rsidRDefault="00000000" w:rsidRPr="00000000" w14:paraId="00000005">
      <w:pPr>
        <w:pageBreakBefore w:val="0"/>
        <w:ind w:right="-360"/>
        <w:jc w:val="both"/>
        <w:rPr>
          <w:rFonts w:ascii="Lato" w:cs="Lato" w:eastAsia="Lato" w:hAnsi="Lato"/>
          <w:b w:val="1"/>
          <w:color w:val="4791ce"/>
          <w:sz w:val="24"/>
          <w:szCs w:val="24"/>
        </w:rPr>
      </w:pPr>
      <w:r w:rsidDel="00000000" w:rsidR="00000000" w:rsidRPr="00000000">
        <w:rPr>
          <w:rFonts w:ascii="Lato" w:cs="Lato" w:eastAsia="Lato" w:hAnsi="Lato"/>
          <w:b w:val="1"/>
          <w:color w:val="4791ce"/>
          <w:sz w:val="24"/>
          <w:szCs w:val="24"/>
          <w:rtl w:val="0"/>
        </w:rPr>
        <w:t xml:space="preserve">----------------------------------------------------------------------------------------------------------------</w:t>
      </w:r>
      <w:r w:rsidDel="00000000" w:rsidR="00000000" w:rsidRPr="00000000">
        <w:rPr>
          <w:rtl w:val="0"/>
        </w:rPr>
      </w:r>
    </w:p>
    <w:p w:rsidR="00000000" w:rsidDel="00000000" w:rsidP="00000000" w:rsidRDefault="00000000" w:rsidRPr="00000000" w14:paraId="00000006">
      <w:pPr>
        <w:pageBreakBefore w:val="0"/>
        <w:ind w:right="-360"/>
        <w:jc w:val="both"/>
        <w:rPr>
          <w:rFonts w:ascii="Lato" w:cs="Lato" w:eastAsia="Lato" w:hAnsi="Lato"/>
          <w:b w:val="1"/>
          <w:color w:val="434344"/>
          <w:sz w:val="20"/>
          <w:szCs w:val="20"/>
        </w:rPr>
      </w:pPr>
      <w:r w:rsidDel="00000000" w:rsidR="00000000" w:rsidRPr="00000000">
        <w:rPr>
          <w:rtl w:val="0"/>
        </w:rPr>
      </w:r>
    </w:p>
    <w:p w:rsidR="00000000" w:rsidDel="00000000" w:rsidP="00000000" w:rsidRDefault="00000000" w:rsidRPr="00000000" w14:paraId="00000007">
      <w:pPr>
        <w:pageBreakBefore w:val="0"/>
        <w:ind w:right="-360"/>
        <w:jc w:val="both"/>
        <w:rPr>
          <w:rFonts w:ascii="Lato" w:cs="Lato" w:eastAsia="Lato" w:hAnsi="Lato"/>
          <w:b w:val="1"/>
          <w:color w:val="434344"/>
          <w:sz w:val="20"/>
          <w:szCs w:val="20"/>
        </w:rPr>
      </w:pPr>
      <w:r w:rsidDel="00000000" w:rsidR="00000000" w:rsidRPr="00000000">
        <w:rPr>
          <w:rFonts w:ascii="Lato" w:cs="Lato" w:eastAsia="Lato" w:hAnsi="Lato"/>
          <w:b w:val="1"/>
          <w:color w:val="434344"/>
          <w:sz w:val="20"/>
          <w:szCs w:val="20"/>
          <w:rtl w:val="0"/>
        </w:rPr>
        <w:t xml:space="preserve">[COMPANY NAME]</w:t>
        <w:tab/>
        <w:tab/>
        <w:tab/>
        <w:tab/>
        <w:tab/>
        <w:tab/>
        <w:tab/>
        <w:tab/>
        <w:tab/>
        <w:t xml:space="preserve">       [COMPANY LOGO]</w:t>
      </w:r>
    </w:p>
    <w:p w:rsidR="00000000" w:rsidDel="00000000" w:rsidP="00000000" w:rsidRDefault="00000000" w:rsidRPr="00000000" w14:paraId="00000008">
      <w:pPr>
        <w:pageBreakBefore w:val="0"/>
        <w:ind w:right="-360"/>
        <w:jc w:val="both"/>
        <w:rPr>
          <w:rFonts w:ascii="Lato" w:cs="Lato" w:eastAsia="Lato" w:hAnsi="Lato"/>
          <w:b w:val="1"/>
          <w:color w:val="434344"/>
          <w:sz w:val="24"/>
          <w:szCs w:val="24"/>
        </w:rPr>
      </w:pPr>
      <w:r w:rsidDel="00000000" w:rsidR="00000000" w:rsidRPr="00000000">
        <w:rPr>
          <w:rFonts w:ascii="Lato" w:cs="Lato" w:eastAsia="Lato" w:hAnsi="Lato"/>
          <w:b w:val="1"/>
          <w:color w:val="434344"/>
          <w:sz w:val="24"/>
          <w:szCs w:val="24"/>
          <w:rtl w:val="0"/>
        </w:rPr>
        <w:t xml:space="preserve">Investment Policy Statement</w:t>
      </w:r>
    </w:p>
    <w:p w:rsidR="00000000" w:rsidDel="00000000" w:rsidP="00000000" w:rsidRDefault="00000000" w:rsidRPr="00000000" w14:paraId="00000009">
      <w:pPr>
        <w:pageBreakBefore w:val="0"/>
        <w:ind w:right="-360"/>
        <w:jc w:val="both"/>
        <w:rPr>
          <w:rFonts w:ascii="Lato" w:cs="Lato" w:eastAsia="Lato" w:hAnsi="Lato"/>
          <w:b w:val="1"/>
          <w:color w:val="434344"/>
          <w:sz w:val="20"/>
          <w:szCs w:val="20"/>
        </w:rPr>
      </w:pPr>
      <w:r w:rsidDel="00000000" w:rsidR="00000000" w:rsidRPr="00000000">
        <w:rPr>
          <w:rFonts w:ascii="Lato" w:cs="Lato" w:eastAsia="Lato" w:hAnsi="Lato"/>
          <w:b w:val="1"/>
          <w:color w:val="434344"/>
          <w:sz w:val="20"/>
          <w:szCs w:val="20"/>
          <w:rtl w:val="0"/>
        </w:rPr>
        <w:t xml:space="preserve">[DATE]</w:t>
      </w:r>
    </w:p>
    <w:p w:rsidR="00000000" w:rsidDel="00000000" w:rsidP="00000000" w:rsidRDefault="00000000" w:rsidRPr="00000000" w14:paraId="0000000A">
      <w:pPr>
        <w:pageBreakBefore w:val="0"/>
        <w:ind w:right="-360"/>
        <w:jc w:val="both"/>
        <w:rPr>
          <w:rFonts w:ascii="Lato" w:cs="Lato" w:eastAsia="Lato" w:hAnsi="Lato"/>
          <w:b w:val="1"/>
          <w:color w:val="434344"/>
          <w:sz w:val="20"/>
          <w:szCs w:val="20"/>
        </w:rPr>
      </w:pPr>
      <w:r w:rsidDel="00000000" w:rsidR="00000000" w:rsidRPr="00000000">
        <w:rPr>
          <w:rtl w:val="0"/>
        </w:rPr>
      </w:r>
    </w:p>
    <w:p w:rsidR="00000000" w:rsidDel="00000000" w:rsidP="00000000" w:rsidRDefault="00000000" w:rsidRPr="00000000" w14:paraId="0000000B">
      <w:pPr>
        <w:pageBreakBefore w:val="0"/>
        <w:ind w:right="-360"/>
        <w:jc w:val="both"/>
        <w:rPr>
          <w:rFonts w:ascii="Lato" w:cs="Lato" w:eastAsia="Lato" w:hAnsi="Lato"/>
          <w:b w:val="1"/>
          <w:color w:val="434344"/>
          <w:sz w:val="24"/>
          <w:szCs w:val="24"/>
        </w:rPr>
      </w:pPr>
      <w:r w:rsidDel="00000000" w:rsidR="00000000" w:rsidRPr="00000000">
        <w:rPr>
          <w:rFonts w:ascii="Lato" w:cs="Lato" w:eastAsia="Lato" w:hAnsi="Lato"/>
          <w:b w:val="1"/>
          <w:color w:val="434344"/>
          <w:sz w:val="24"/>
          <w:szCs w:val="24"/>
          <w:rtl w:val="0"/>
        </w:rPr>
        <w:t xml:space="preserve">Investment Objectives</w:t>
      </w:r>
    </w:p>
    <w:p w:rsidR="00000000" w:rsidDel="00000000" w:rsidP="00000000" w:rsidRDefault="00000000" w:rsidRPr="00000000" w14:paraId="0000000C">
      <w:pPr>
        <w:pageBreakBefore w:val="0"/>
        <w:ind w:right="-360"/>
        <w:jc w:val="both"/>
        <w:rPr>
          <w:rFonts w:ascii="Lato" w:cs="Lato" w:eastAsia="Lato" w:hAnsi="Lato"/>
          <w:color w:val="434344"/>
          <w:sz w:val="24"/>
          <w:szCs w:val="24"/>
        </w:rPr>
      </w:pPr>
      <w:r w:rsidDel="00000000" w:rsidR="00000000" w:rsidRPr="00000000">
        <w:rPr>
          <w:rFonts w:ascii="Lato" w:cs="Lato" w:eastAsia="Lato" w:hAnsi="Lato"/>
          <w:color w:val="434344"/>
          <w:sz w:val="24"/>
          <w:szCs w:val="24"/>
          <w:rtl w:val="0"/>
        </w:rPr>
        <w:t xml:space="preserve">The company’s primary investment objectives for its strategic capital are, in order of importance:</w:t>
      </w:r>
    </w:p>
    <w:p w:rsidR="00000000" w:rsidDel="00000000" w:rsidP="00000000" w:rsidRDefault="00000000" w:rsidRPr="00000000" w14:paraId="0000000D">
      <w:pPr>
        <w:pageBreakBefore w:val="0"/>
        <w:numPr>
          <w:ilvl w:val="0"/>
          <w:numId w:val="1"/>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Preservation of capital and safety of funds and investments</w:t>
      </w:r>
    </w:p>
    <w:p w:rsidR="00000000" w:rsidDel="00000000" w:rsidP="00000000" w:rsidRDefault="00000000" w:rsidRPr="00000000" w14:paraId="0000000E">
      <w:pPr>
        <w:pageBreakBefore w:val="0"/>
        <w:numPr>
          <w:ilvl w:val="0"/>
          <w:numId w:val="1"/>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Sufficient liquidity to avoid unreasonable risks</w:t>
      </w:r>
    </w:p>
    <w:p w:rsidR="00000000" w:rsidDel="00000000" w:rsidP="00000000" w:rsidRDefault="00000000" w:rsidRPr="00000000" w14:paraId="0000000F">
      <w:pPr>
        <w:pageBreakBefore w:val="0"/>
        <w:numPr>
          <w:ilvl w:val="0"/>
          <w:numId w:val="1"/>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A total return consistent with the designated benchmark</w:t>
      </w:r>
    </w:p>
    <w:p w:rsidR="00000000" w:rsidDel="00000000" w:rsidP="00000000" w:rsidRDefault="00000000" w:rsidRPr="00000000" w14:paraId="00000010">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11">
      <w:pPr>
        <w:pageBreakBefore w:val="0"/>
        <w:ind w:right="-360"/>
        <w:jc w:val="both"/>
        <w:rPr>
          <w:rFonts w:ascii="Lato" w:cs="Lato" w:eastAsia="Lato" w:hAnsi="Lato"/>
          <w:b w:val="1"/>
          <w:color w:val="434344"/>
          <w:sz w:val="24"/>
          <w:szCs w:val="24"/>
        </w:rPr>
      </w:pPr>
      <w:r w:rsidDel="00000000" w:rsidR="00000000" w:rsidRPr="00000000">
        <w:rPr>
          <w:rFonts w:ascii="Lato" w:cs="Lato" w:eastAsia="Lato" w:hAnsi="Lato"/>
          <w:b w:val="1"/>
          <w:color w:val="434344"/>
          <w:sz w:val="24"/>
          <w:szCs w:val="24"/>
          <w:rtl w:val="0"/>
        </w:rPr>
        <w:t xml:space="preserve">Roles and Responsibilities</w:t>
      </w:r>
    </w:p>
    <w:p w:rsidR="00000000" w:rsidDel="00000000" w:rsidP="00000000" w:rsidRDefault="00000000" w:rsidRPr="00000000" w14:paraId="00000012">
      <w:pPr>
        <w:pageBreakBefore w:val="0"/>
        <w:ind w:right="-360"/>
        <w:jc w:val="both"/>
        <w:rPr>
          <w:rFonts w:ascii="Lato" w:cs="Lato" w:eastAsia="Lato" w:hAnsi="Lato"/>
          <w:color w:val="434344"/>
          <w:sz w:val="24"/>
          <w:szCs w:val="24"/>
        </w:rPr>
      </w:pPr>
      <w:r w:rsidDel="00000000" w:rsidR="00000000" w:rsidRPr="00000000">
        <w:rPr>
          <w:rFonts w:ascii="Lato" w:cs="Lato" w:eastAsia="Lato" w:hAnsi="Lato"/>
          <w:color w:val="434344"/>
          <w:sz w:val="24"/>
          <w:szCs w:val="24"/>
          <w:rtl w:val="0"/>
        </w:rPr>
        <w:t xml:space="preserve">The company’s Board of Directors, Chief Executive Officer, and Chief Financial Officer will review the company’s cash flow requirements and determine the amount of liquidity required for working capital. Funds in excess of that liquidity requirement will be designated strategic cash and will be invested in a managed portfolio of fixed income securities according to the guidelines established below. </w:t>
      </w:r>
    </w:p>
    <w:p w:rsidR="00000000" w:rsidDel="00000000" w:rsidP="00000000" w:rsidRDefault="00000000" w:rsidRPr="00000000" w14:paraId="00000013">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14">
      <w:pPr>
        <w:pageBreakBefore w:val="0"/>
        <w:ind w:right="-360"/>
        <w:jc w:val="both"/>
        <w:rPr>
          <w:rFonts w:ascii="Lato" w:cs="Lato" w:eastAsia="Lato" w:hAnsi="Lato"/>
          <w:color w:val="434344"/>
          <w:sz w:val="24"/>
          <w:szCs w:val="24"/>
        </w:rPr>
      </w:pPr>
      <w:r w:rsidDel="00000000" w:rsidR="00000000" w:rsidRPr="00000000">
        <w:rPr>
          <w:rFonts w:ascii="Lato" w:cs="Lato" w:eastAsia="Lato" w:hAnsi="Lato"/>
          <w:color w:val="434344"/>
          <w:sz w:val="24"/>
          <w:szCs w:val="24"/>
          <w:rtl w:val="0"/>
        </w:rPr>
        <w:t xml:space="preserve">The company’s Board of Directors, Chief Executive Officer, and Chief Financial Officer will review the investment policy statement annually to ensure it is consistent with company goals. Changes to the policy statement must be approved by the Board of Directors and the Chief Executive Officer. </w:t>
      </w:r>
    </w:p>
    <w:p w:rsidR="00000000" w:rsidDel="00000000" w:rsidP="00000000" w:rsidRDefault="00000000" w:rsidRPr="00000000" w14:paraId="00000015">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16">
      <w:pPr>
        <w:pageBreakBefore w:val="0"/>
        <w:ind w:right="-360"/>
        <w:jc w:val="both"/>
        <w:rPr>
          <w:rFonts w:ascii="Lato" w:cs="Lato" w:eastAsia="Lato" w:hAnsi="Lato"/>
          <w:color w:val="434344"/>
          <w:sz w:val="24"/>
          <w:szCs w:val="24"/>
        </w:rPr>
      </w:pPr>
      <w:r w:rsidDel="00000000" w:rsidR="00000000" w:rsidRPr="00000000">
        <w:rPr>
          <w:rFonts w:ascii="Lato" w:cs="Lato" w:eastAsia="Lato" w:hAnsi="Lato"/>
          <w:color w:val="434344"/>
          <w:sz w:val="24"/>
          <w:szCs w:val="24"/>
          <w:rtl w:val="0"/>
        </w:rPr>
        <w:t xml:space="preserve">The company may employ the services of a Registered Investment Advisor to direct some or all of the investments according to the requirements of this investment policy. The Chief Financial Officer will review and recommend any outside investment management services, and final approval will rest with the Board of Directors and the Chief Executive Officer. The performance of any outside investment management will be reviews no less than four times annually by the Board of Directors, the Chief Executive Officer, and the Chief Financial Officer. The Board of Directors and the Chief Executive Officer must approve the opening or closing of any investment accounts. </w:t>
      </w:r>
    </w:p>
    <w:p w:rsidR="00000000" w:rsidDel="00000000" w:rsidP="00000000" w:rsidRDefault="00000000" w:rsidRPr="00000000" w14:paraId="00000017">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18">
      <w:pPr>
        <w:pageBreakBefore w:val="0"/>
        <w:ind w:right="-360"/>
        <w:jc w:val="both"/>
        <w:rPr>
          <w:rFonts w:ascii="Lato" w:cs="Lato" w:eastAsia="Lato" w:hAnsi="Lato"/>
          <w:color w:val="434344"/>
          <w:sz w:val="24"/>
          <w:szCs w:val="24"/>
        </w:rPr>
      </w:pPr>
      <w:r w:rsidDel="00000000" w:rsidR="00000000" w:rsidRPr="00000000">
        <w:rPr>
          <w:rFonts w:ascii="Lato" w:cs="Lato" w:eastAsia="Lato" w:hAnsi="Lato"/>
          <w:color w:val="434344"/>
          <w:sz w:val="24"/>
          <w:szCs w:val="24"/>
          <w:rtl w:val="0"/>
        </w:rPr>
        <w:t xml:space="preserve">The Chief Financial Officer or any individual designated by the Chief Financial Officer will be responsible for execution of the investment policy statement and adhering to the requirements set forth in it. </w:t>
      </w:r>
    </w:p>
    <w:p w:rsidR="00000000" w:rsidDel="00000000" w:rsidP="00000000" w:rsidRDefault="00000000" w:rsidRPr="00000000" w14:paraId="00000019">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1A">
      <w:pPr>
        <w:pageBreakBefore w:val="0"/>
        <w:ind w:right="-360"/>
        <w:jc w:val="both"/>
        <w:rPr>
          <w:rFonts w:ascii="Lato" w:cs="Lato" w:eastAsia="Lato" w:hAnsi="Lato"/>
          <w:b w:val="1"/>
          <w:color w:val="434344"/>
          <w:sz w:val="24"/>
          <w:szCs w:val="24"/>
        </w:rPr>
      </w:pPr>
      <w:r w:rsidDel="00000000" w:rsidR="00000000" w:rsidRPr="00000000">
        <w:rPr>
          <w:rFonts w:ascii="Lato" w:cs="Lato" w:eastAsia="Lato" w:hAnsi="Lato"/>
          <w:b w:val="1"/>
          <w:color w:val="434344"/>
          <w:sz w:val="24"/>
          <w:szCs w:val="24"/>
          <w:rtl w:val="0"/>
        </w:rPr>
        <w:t xml:space="preserve">Investment Guidelines</w:t>
      </w:r>
    </w:p>
    <w:p w:rsidR="00000000" w:rsidDel="00000000" w:rsidP="00000000" w:rsidRDefault="00000000" w:rsidRPr="00000000" w14:paraId="0000001B">
      <w:pPr>
        <w:pageBreakBefore w:val="0"/>
        <w:ind w:right="-360"/>
        <w:jc w:val="both"/>
        <w:rPr>
          <w:rFonts w:ascii="Lato" w:cs="Lato" w:eastAsia="Lato" w:hAnsi="Lato"/>
          <w:color w:val="434344"/>
          <w:sz w:val="24"/>
          <w:szCs w:val="24"/>
        </w:rPr>
      </w:pPr>
      <w:r w:rsidDel="00000000" w:rsidR="00000000" w:rsidRPr="00000000">
        <w:rPr>
          <w:rFonts w:ascii="Lato" w:cs="Lato" w:eastAsia="Lato" w:hAnsi="Lato"/>
          <w:color w:val="434344"/>
          <w:sz w:val="24"/>
          <w:szCs w:val="24"/>
          <w:rtl w:val="0"/>
        </w:rPr>
        <w:t xml:space="preserve">Funds will be invested only in instruments denominated and payable in US dollars.</w:t>
      </w:r>
    </w:p>
    <w:p w:rsidR="00000000" w:rsidDel="00000000" w:rsidP="00000000" w:rsidRDefault="00000000" w:rsidRPr="00000000" w14:paraId="0000001C">
      <w:pPr>
        <w:pageBreakBefore w:val="0"/>
        <w:ind w:right="-360"/>
        <w:jc w:val="both"/>
        <w:rPr>
          <w:rFonts w:ascii="Lato" w:cs="Lato" w:eastAsia="Lato" w:hAnsi="Lato"/>
          <w:color w:val="434344"/>
          <w:sz w:val="24"/>
          <w:szCs w:val="24"/>
        </w:rPr>
      </w:pPr>
      <w:r w:rsidDel="00000000" w:rsidR="00000000" w:rsidRPr="00000000">
        <w:rPr>
          <w:rFonts w:ascii="Lato" w:cs="Lato" w:eastAsia="Lato" w:hAnsi="Lato"/>
          <w:color w:val="434344"/>
          <w:sz w:val="24"/>
          <w:szCs w:val="24"/>
          <w:rtl w:val="0"/>
        </w:rPr>
        <w:t xml:space="preserve">Approved investments include:</w:t>
      </w:r>
    </w:p>
    <w:p w:rsidR="00000000" w:rsidDel="00000000" w:rsidP="00000000" w:rsidRDefault="00000000" w:rsidRPr="00000000" w14:paraId="0000001D">
      <w:pPr>
        <w:pageBreakBefore w:val="0"/>
        <w:numPr>
          <w:ilvl w:val="0"/>
          <w:numId w:val="3"/>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Obligations of the US government and its agencies </w:t>
      </w:r>
    </w:p>
    <w:p w:rsidR="00000000" w:rsidDel="00000000" w:rsidP="00000000" w:rsidRDefault="00000000" w:rsidRPr="00000000" w14:paraId="0000001E">
      <w:pPr>
        <w:pageBreakBefore w:val="0"/>
        <w:numPr>
          <w:ilvl w:val="0"/>
          <w:numId w:val="3"/>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Money market repurchase agreements</w:t>
      </w:r>
    </w:p>
    <w:p w:rsidR="00000000" w:rsidDel="00000000" w:rsidP="00000000" w:rsidRDefault="00000000" w:rsidRPr="00000000" w14:paraId="0000001F">
      <w:pPr>
        <w:pageBreakBefore w:val="0"/>
        <w:numPr>
          <w:ilvl w:val="0"/>
          <w:numId w:val="3"/>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Money market funds registered according to SEC Rule 2a-7 of the Investment Company Act of 1940</w:t>
      </w:r>
    </w:p>
    <w:p w:rsidR="00000000" w:rsidDel="00000000" w:rsidP="00000000" w:rsidRDefault="00000000" w:rsidRPr="00000000" w14:paraId="00000020">
      <w:pPr>
        <w:pageBreakBefore w:val="0"/>
        <w:ind w:right="-360"/>
        <w:jc w:val="both"/>
        <w:rPr>
          <w:rFonts w:ascii="Lato" w:cs="Lato" w:eastAsia="Lato" w:hAnsi="Lato"/>
          <w:color w:val="434344"/>
          <w:sz w:val="24"/>
          <w:szCs w:val="24"/>
        </w:rPr>
      </w:pPr>
      <w:r w:rsidDel="00000000" w:rsidR="00000000" w:rsidRPr="00000000">
        <w:rPr>
          <w:rFonts w:ascii="Lato" w:cs="Lato" w:eastAsia="Lato" w:hAnsi="Lato"/>
          <w:color w:val="434344"/>
          <w:sz w:val="24"/>
          <w:szCs w:val="24"/>
          <w:rtl w:val="0"/>
        </w:rPr>
        <w:t xml:space="preserve">Prohibited investments include:</w:t>
      </w:r>
    </w:p>
    <w:p w:rsidR="00000000" w:rsidDel="00000000" w:rsidP="00000000" w:rsidRDefault="00000000" w:rsidRPr="00000000" w14:paraId="00000021">
      <w:pPr>
        <w:pageBreakBefore w:val="0"/>
        <w:numPr>
          <w:ilvl w:val="0"/>
          <w:numId w:val="4"/>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Commercial paper</w:t>
      </w:r>
    </w:p>
    <w:p w:rsidR="00000000" w:rsidDel="00000000" w:rsidP="00000000" w:rsidRDefault="00000000" w:rsidRPr="00000000" w14:paraId="00000022">
      <w:pPr>
        <w:pageBreakBefore w:val="0"/>
        <w:numPr>
          <w:ilvl w:val="0"/>
          <w:numId w:val="4"/>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Corporate bonds</w:t>
      </w:r>
    </w:p>
    <w:p w:rsidR="00000000" w:rsidDel="00000000" w:rsidP="00000000" w:rsidRDefault="00000000" w:rsidRPr="00000000" w14:paraId="00000023">
      <w:pPr>
        <w:pageBreakBefore w:val="0"/>
        <w:numPr>
          <w:ilvl w:val="0"/>
          <w:numId w:val="4"/>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Asset-backed securities</w:t>
      </w:r>
    </w:p>
    <w:p w:rsidR="00000000" w:rsidDel="00000000" w:rsidP="00000000" w:rsidRDefault="00000000" w:rsidRPr="00000000" w14:paraId="00000024">
      <w:pPr>
        <w:pageBreakBefore w:val="0"/>
        <w:numPr>
          <w:ilvl w:val="0"/>
          <w:numId w:val="4"/>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Municipal obligations</w:t>
      </w:r>
    </w:p>
    <w:p w:rsidR="00000000" w:rsidDel="00000000" w:rsidP="00000000" w:rsidRDefault="00000000" w:rsidRPr="00000000" w14:paraId="00000025">
      <w:pPr>
        <w:pageBreakBefore w:val="0"/>
        <w:numPr>
          <w:ilvl w:val="0"/>
          <w:numId w:val="4"/>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Collateralized debt or loan obligations</w:t>
      </w:r>
    </w:p>
    <w:p w:rsidR="00000000" w:rsidDel="00000000" w:rsidP="00000000" w:rsidRDefault="00000000" w:rsidRPr="00000000" w14:paraId="00000026">
      <w:pPr>
        <w:pageBreakBefore w:val="0"/>
        <w:numPr>
          <w:ilvl w:val="0"/>
          <w:numId w:val="4"/>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Auction rate securities</w:t>
      </w:r>
    </w:p>
    <w:p w:rsidR="00000000" w:rsidDel="00000000" w:rsidP="00000000" w:rsidRDefault="00000000" w:rsidRPr="00000000" w14:paraId="00000027">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28">
      <w:pPr>
        <w:pageBreakBefore w:val="0"/>
        <w:ind w:right="-360"/>
        <w:jc w:val="both"/>
        <w:rPr>
          <w:rFonts w:ascii="Lato" w:cs="Lato" w:eastAsia="Lato" w:hAnsi="Lato"/>
          <w:color w:val="434344"/>
          <w:sz w:val="24"/>
          <w:szCs w:val="24"/>
          <w:u w:val="single"/>
        </w:rPr>
      </w:pPr>
      <w:r w:rsidDel="00000000" w:rsidR="00000000" w:rsidRPr="00000000">
        <w:rPr>
          <w:rFonts w:ascii="Lato" w:cs="Lato" w:eastAsia="Lato" w:hAnsi="Lato"/>
          <w:color w:val="434344"/>
          <w:sz w:val="24"/>
          <w:szCs w:val="24"/>
          <w:u w:val="single"/>
          <w:rtl w:val="0"/>
        </w:rPr>
        <w:t xml:space="preserve">Credit standards</w:t>
      </w:r>
    </w:p>
    <w:p w:rsidR="00000000" w:rsidDel="00000000" w:rsidP="00000000" w:rsidRDefault="00000000" w:rsidRPr="00000000" w14:paraId="00000029">
      <w:pPr>
        <w:pageBreakBefore w:val="0"/>
        <w:numPr>
          <w:ilvl w:val="0"/>
          <w:numId w:val="2"/>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At purchase, short-term credit instruments must be rated A-1, P-1, F1 at a minimum by at least one Nationally Recognized Statistical Ratings Organizations (NRSROs). </w:t>
      </w:r>
    </w:p>
    <w:p w:rsidR="00000000" w:rsidDel="00000000" w:rsidP="00000000" w:rsidRDefault="00000000" w:rsidRPr="00000000" w14:paraId="0000002A">
      <w:pPr>
        <w:pageBreakBefore w:val="0"/>
        <w:numPr>
          <w:ilvl w:val="0"/>
          <w:numId w:val="2"/>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Money market funds must be rated AAA/Aaa/AAA by at least one NRSRO.</w:t>
      </w:r>
    </w:p>
    <w:p w:rsidR="00000000" w:rsidDel="00000000" w:rsidP="00000000" w:rsidRDefault="00000000" w:rsidRPr="00000000" w14:paraId="0000002B">
      <w:pPr>
        <w:pageBreakBefore w:val="0"/>
        <w:numPr>
          <w:ilvl w:val="0"/>
          <w:numId w:val="2"/>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If securities or funds are downgraded below the minimum ratings noted above, the company must be notified within two business days of the downgrade and provided with a recommended action. </w:t>
      </w:r>
    </w:p>
    <w:p w:rsidR="00000000" w:rsidDel="00000000" w:rsidP="00000000" w:rsidRDefault="00000000" w:rsidRPr="00000000" w14:paraId="0000002C">
      <w:pPr>
        <w:pageBreakBefore w:val="0"/>
        <w:numPr>
          <w:ilvl w:val="0"/>
          <w:numId w:val="2"/>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Repurchase agreements will be 102% collateralized with securities issued by the US Government or its agencies.</w:t>
      </w:r>
    </w:p>
    <w:p w:rsidR="00000000" w:rsidDel="00000000" w:rsidP="00000000" w:rsidRDefault="00000000" w:rsidRPr="00000000" w14:paraId="0000002D">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2E">
      <w:pPr>
        <w:pageBreakBefore w:val="0"/>
        <w:ind w:right="-360"/>
        <w:jc w:val="both"/>
        <w:rPr>
          <w:rFonts w:ascii="Lato" w:cs="Lato" w:eastAsia="Lato" w:hAnsi="Lato"/>
          <w:b w:val="1"/>
          <w:color w:val="434344"/>
          <w:sz w:val="24"/>
          <w:szCs w:val="24"/>
        </w:rPr>
      </w:pPr>
      <w:r w:rsidDel="00000000" w:rsidR="00000000" w:rsidRPr="00000000">
        <w:rPr>
          <w:rFonts w:ascii="Lato" w:cs="Lato" w:eastAsia="Lato" w:hAnsi="Lato"/>
          <w:b w:val="1"/>
          <w:color w:val="434344"/>
          <w:sz w:val="24"/>
          <w:szCs w:val="24"/>
          <w:rtl w:val="0"/>
        </w:rPr>
        <w:t xml:space="preserve">Asset Allocation Requirements</w:t>
      </w:r>
    </w:p>
    <w:p w:rsidR="00000000" w:rsidDel="00000000" w:rsidP="00000000" w:rsidRDefault="00000000" w:rsidRPr="00000000" w14:paraId="0000002F">
      <w:pPr>
        <w:pageBreakBefore w:val="0"/>
        <w:ind w:right="-360"/>
        <w:jc w:val="both"/>
        <w:rPr>
          <w:rFonts w:ascii="Lato" w:cs="Lato" w:eastAsia="Lato" w:hAnsi="Lato"/>
          <w:color w:val="434344"/>
          <w:sz w:val="24"/>
          <w:szCs w:val="24"/>
        </w:rPr>
      </w:pPr>
      <w:r w:rsidDel="00000000" w:rsidR="00000000" w:rsidRPr="00000000">
        <w:rPr>
          <w:rFonts w:ascii="Lato" w:cs="Lato" w:eastAsia="Lato" w:hAnsi="Lato"/>
          <w:color w:val="434344"/>
          <w:sz w:val="24"/>
          <w:szCs w:val="24"/>
          <w:rtl w:val="0"/>
        </w:rPr>
        <w:t xml:space="preserve">At least 95% of the company’s overall portfolio must be invested in US Treasury and US government agency securities. </w:t>
      </w:r>
    </w:p>
    <w:p w:rsidR="00000000" w:rsidDel="00000000" w:rsidP="00000000" w:rsidRDefault="00000000" w:rsidRPr="00000000" w14:paraId="00000030">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31">
      <w:pPr>
        <w:pageBreakBefore w:val="0"/>
        <w:ind w:right="-360"/>
        <w:jc w:val="both"/>
        <w:rPr>
          <w:rFonts w:ascii="Lato" w:cs="Lato" w:eastAsia="Lato" w:hAnsi="Lato"/>
          <w:b w:val="1"/>
          <w:color w:val="434344"/>
          <w:sz w:val="24"/>
          <w:szCs w:val="24"/>
        </w:rPr>
      </w:pPr>
      <w:r w:rsidDel="00000000" w:rsidR="00000000" w:rsidRPr="00000000">
        <w:rPr>
          <w:rFonts w:ascii="Lato" w:cs="Lato" w:eastAsia="Lato" w:hAnsi="Lato"/>
          <w:b w:val="1"/>
          <w:color w:val="434344"/>
          <w:sz w:val="24"/>
          <w:szCs w:val="24"/>
          <w:rtl w:val="0"/>
        </w:rPr>
        <w:t xml:space="preserve">Liquidity Requirements</w:t>
      </w:r>
    </w:p>
    <w:p w:rsidR="00000000" w:rsidDel="00000000" w:rsidP="00000000" w:rsidRDefault="00000000" w:rsidRPr="00000000" w14:paraId="00000032">
      <w:pPr>
        <w:pageBreakBefore w:val="0"/>
        <w:ind w:right="-360"/>
        <w:jc w:val="both"/>
        <w:rPr>
          <w:rFonts w:ascii="Lato" w:cs="Lato" w:eastAsia="Lato" w:hAnsi="Lato"/>
          <w:color w:val="434344"/>
          <w:sz w:val="24"/>
          <w:szCs w:val="24"/>
        </w:rPr>
      </w:pPr>
      <w:r w:rsidDel="00000000" w:rsidR="00000000" w:rsidRPr="00000000">
        <w:rPr>
          <w:rFonts w:ascii="Lato" w:cs="Lato" w:eastAsia="Lato" w:hAnsi="Lato"/>
          <w:color w:val="434344"/>
          <w:sz w:val="24"/>
          <w:szCs w:val="24"/>
          <w:rtl w:val="0"/>
        </w:rPr>
        <w:t xml:space="preserve">All securities held must be readily marketable with publicly available pricing and liquidity provided on a daily basis.</w:t>
      </w:r>
    </w:p>
    <w:p w:rsidR="00000000" w:rsidDel="00000000" w:rsidP="00000000" w:rsidRDefault="00000000" w:rsidRPr="00000000" w14:paraId="00000033">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34">
      <w:pPr>
        <w:pageBreakBefore w:val="0"/>
        <w:ind w:right="-360"/>
        <w:jc w:val="both"/>
        <w:rPr>
          <w:rFonts w:ascii="Lato" w:cs="Lato" w:eastAsia="Lato" w:hAnsi="Lato"/>
          <w:b w:val="1"/>
          <w:color w:val="434344"/>
          <w:sz w:val="24"/>
          <w:szCs w:val="24"/>
        </w:rPr>
      </w:pPr>
      <w:r w:rsidDel="00000000" w:rsidR="00000000" w:rsidRPr="00000000">
        <w:rPr>
          <w:rtl w:val="0"/>
        </w:rPr>
      </w:r>
    </w:p>
    <w:p w:rsidR="00000000" w:rsidDel="00000000" w:rsidP="00000000" w:rsidRDefault="00000000" w:rsidRPr="00000000" w14:paraId="00000035">
      <w:pPr>
        <w:pageBreakBefore w:val="0"/>
        <w:ind w:right="-360"/>
        <w:jc w:val="both"/>
        <w:rPr>
          <w:rFonts w:ascii="Lato" w:cs="Lato" w:eastAsia="Lato" w:hAnsi="Lato"/>
          <w:b w:val="1"/>
          <w:color w:val="434344"/>
          <w:sz w:val="24"/>
          <w:szCs w:val="24"/>
        </w:rPr>
      </w:pPr>
      <w:r w:rsidDel="00000000" w:rsidR="00000000" w:rsidRPr="00000000">
        <w:rPr>
          <w:rtl w:val="0"/>
        </w:rPr>
      </w:r>
    </w:p>
    <w:p w:rsidR="00000000" w:rsidDel="00000000" w:rsidP="00000000" w:rsidRDefault="00000000" w:rsidRPr="00000000" w14:paraId="00000036">
      <w:pPr>
        <w:pageBreakBefore w:val="0"/>
        <w:ind w:right="-360"/>
        <w:jc w:val="both"/>
        <w:rPr>
          <w:rFonts w:ascii="Lato" w:cs="Lato" w:eastAsia="Lato" w:hAnsi="Lato"/>
          <w:b w:val="1"/>
          <w:color w:val="434344"/>
          <w:sz w:val="24"/>
          <w:szCs w:val="24"/>
        </w:rPr>
      </w:pPr>
      <w:r w:rsidDel="00000000" w:rsidR="00000000" w:rsidRPr="00000000">
        <w:rPr>
          <w:rFonts w:ascii="Lato" w:cs="Lato" w:eastAsia="Lato" w:hAnsi="Lato"/>
          <w:b w:val="1"/>
          <w:color w:val="434344"/>
          <w:sz w:val="24"/>
          <w:szCs w:val="24"/>
          <w:rtl w:val="0"/>
        </w:rPr>
        <w:t xml:space="preserve">Maturity Requirements</w:t>
      </w:r>
    </w:p>
    <w:p w:rsidR="00000000" w:rsidDel="00000000" w:rsidP="00000000" w:rsidRDefault="00000000" w:rsidRPr="00000000" w14:paraId="00000037">
      <w:pPr>
        <w:pageBreakBefore w:val="0"/>
        <w:numPr>
          <w:ilvl w:val="0"/>
          <w:numId w:val="6"/>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At time of purchase, the maturity of each security in the portfolio will not exceed 397 days. </w:t>
      </w:r>
    </w:p>
    <w:p w:rsidR="00000000" w:rsidDel="00000000" w:rsidP="00000000" w:rsidRDefault="00000000" w:rsidRPr="00000000" w14:paraId="00000038">
      <w:pPr>
        <w:pageBreakBefore w:val="0"/>
        <w:numPr>
          <w:ilvl w:val="0"/>
          <w:numId w:val="6"/>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The weighted average of any mutual funds held by the company will not exceed 397 days.</w:t>
      </w:r>
    </w:p>
    <w:p w:rsidR="00000000" w:rsidDel="00000000" w:rsidP="00000000" w:rsidRDefault="00000000" w:rsidRPr="00000000" w14:paraId="00000039">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3A">
      <w:pPr>
        <w:pageBreakBefore w:val="0"/>
        <w:ind w:right="-360"/>
        <w:jc w:val="both"/>
        <w:rPr>
          <w:rFonts w:ascii="Lato" w:cs="Lato" w:eastAsia="Lato" w:hAnsi="Lato"/>
          <w:b w:val="1"/>
          <w:color w:val="434344"/>
          <w:sz w:val="24"/>
          <w:szCs w:val="24"/>
        </w:rPr>
      </w:pPr>
      <w:r w:rsidDel="00000000" w:rsidR="00000000" w:rsidRPr="00000000">
        <w:rPr>
          <w:rFonts w:ascii="Lato" w:cs="Lato" w:eastAsia="Lato" w:hAnsi="Lato"/>
          <w:b w:val="1"/>
          <w:color w:val="434344"/>
          <w:sz w:val="24"/>
          <w:szCs w:val="24"/>
          <w:rtl w:val="0"/>
        </w:rPr>
        <w:t xml:space="preserve">Performance Measurement</w:t>
      </w:r>
    </w:p>
    <w:p w:rsidR="00000000" w:rsidDel="00000000" w:rsidP="00000000" w:rsidRDefault="00000000" w:rsidRPr="00000000" w14:paraId="0000003B">
      <w:pPr>
        <w:pageBreakBefore w:val="0"/>
        <w:numPr>
          <w:ilvl w:val="0"/>
          <w:numId w:val="5"/>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The investment manager must verify compliance with the CFA Institute’s Global Investment Performance Standards (GIPS).</w:t>
      </w:r>
    </w:p>
    <w:p w:rsidR="00000000" w:rsidDel="00000000" w:rsidP="00000000" w:rsidRDefault="00000000" w:rsidRPr="00000000" w14:paraId="0000003C">
      <w:pPr>
        <w:pageBreakBefore w:val="0"/>
        <w:numPr>
          <w:ilvl w:val="0"/>
          <w:numId w:val="5"/>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The portfolio total return performance should be consistent with Lipper Institutional Money Market Fund Average. </w:t>
      </w:r>
    </w:p>
    <w:p w:rsidR="00000000" w:rsidDel="00000000" w:rsidP="00000000" w:rsidRDefault="00000000" w:rsidRPr="00000000" w14:paraId="0000003D">
      <w:pPr>
        <w:pageBreakBefore w:val="0"/>
        <w:numPr>
          <w:ilvl w:val="0"/>
          <w:numId w:val="5"/>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The investment manager will meet with the company no less than four times annually and will be available for regular telephone contact.</w:t>
      </w:r>
    </w:p>
    <w:p w:rsidR="00000000" w:rsidDel="00000000" w:rsidP="00000000" w:rsidRDefault="00000000" w:rsidRPr="00000000" w14:paraId="0000003E">
      <w:pPr>
        <w:pageBreakBefore w:val="0"/>
        <w:numPr>
          <w:ilvl w:val="0"/>
          <w:numId w:val="5"/>
        </w:numPr>
        <w:ind w:left="720" w:right="-360" w:hanging="360"/>
        <w:jc w:val="both"/>
        <w:rPr>
          <w:rFonts w:ascii="Lato" w:cs="Lato" w:eastAsia="Lato" w:hAnsi="Lato"/>
          <w:color w:val="434344"/>
          <w:sz w:val="24"/>
          <w:szCs w:val="24"/>
          <w:u w:val="none"/>
        </w:rPr>
      </w:pPr>
      <w:r w:rsidDel="00000000" w:rsidR="00000000" w:rsidRPr="00000000">
        <w:rPr>
          <w:rFonts w:ascii="Lato" w:cs="Lato" w:eastAsia="Lato" w:hAnsi="Lato"/>
          <w:color w:val="434344"/>
          <w:sz w:val="24"/>
          <w:szCs w:val="24"/>
          <w:rtl w:val="0"/>
        </w:rPr>
        <w:t xml:space="preserve">The investment manager will provide monthly statements of transactions and market valuation of portfolio assets. </w:t>
      </w:r>
    </w:p>
    <w:p w:rsidR="00000000" w:rsidDel="00000000" w:rsidP="00000000" w:rsidRDefault="00000000" w:rsidRPr="00000000" w14:paraId="0000003F">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40">
      <w:pPr>
        <w:pageBreakBefore w:val="0"/>
        <w:ind w:right="-360"/>
        <w:jc w:val="both"/>
        <w:rPr>
          <w:rFonts w:ascii="Lato" w:cs="Lato" w:eastAsia="Lato" w:hAnsi="Lato"/>
          <w:b w:val="1"/>
          <w:color w:val="434344"/>
          <w:sz w:val="24"/>
          <w:szCs w:val="24"/>
        </w:rPr>
      </w:pPr>
      <w:r w:rsidDel="00000000" w:rsidR="00000000" w:rsidRPr="00000000">
        <w:rPr>
          <w:rFonts w:ascii="Lato" w:cs="Lato" w:eastAsia="Lato" w:hAnsi="Lato"/>
          <w:b w:val="1"/>
          <w:color w:val="434344"/>
          <w:sz w:val="24"/>
          <w:szCs w:val="24"/>
          <w:rtl w:val="0"/>
        </w:rPr>
        <w:t xml:space="preserve">Transparency</w:t>
      </w:r>
    </w:p>
    <w:p w:rsidR="00000000" w:rsidDel="00000000" w:rsidP="00000000" w:rsidRDefault="00000000" w:rsidRPr="00000000" w14:paraId="00000041">
      <w:pPr>
        <w:pageBreakBefore w:val="0"/>
        <w:ind w:right="-360"/>
        <w:jc w:val="both"/>
        <w:rPr>
          <w:rFonts w:ascii="Lato" w:cs="Lato" w:eastAsia="Lato" w:hAnsi="Lato"/>
          <w:color w:val="434344"/>
          <w:sz w:val="24"/>
          <w:szCs w:val="24"/>
        </w:rPr>
      </w:pPr>
      <w:r w:rsidDel="00000000" w:rsidR="00000000" w:rsidRPr="00000000">
        <w:rPr>
          <w:rFonts w:ascii="Lato" w:cs="Lato" w:eastAsia="Lato" w:hAnsi="Lato"/>
          <w:color w:val="434344"/>
          <w:sz w:val="24"/>
          <w:szCs w:val="24"/>
          <w:rtl w:val="0"/>
        </w:rPr>
        <w:t xml:space="preserve">Assets are to be held in a third-party custodial account with a separate agreement between the custodian and the company. The custodian will provide an annual SSAE 16 report.</w:t>
      </w:r>
    </w:p>
    <w:p w:rsidR="00000000" w:rsidDel="00000000" w:rsidP="00000000" w:rsidRDefault="00000000" w:rsidRPr="00000000" w14:paraId="00000042">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43">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44">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45">
      <w:pPr>
        <w:pageBreakBefore w:val="0"/>
        <w:ind w:right="-360"/>
        <w:jc w:val="both"/>
        <w:rPr>
          <w:rFonts w:ascii="Lato" w:cs="Lato" w:eastAsia="Lato" w:hAnsi="Lato"/>
          <w:color w:val="434344"/>
          <w:sz w:val="24"/>
          <w:szCs w:val="24"/>
        </w:rPr>
      </w:pPr>
      <w:r w:rsidDel="00000000" w:rsidR="00000000" w:rsidRPr="00000000">
        <w:rPr>
          <w:rtl w:val="0"/>
        </w:rPr>
      </w:r>
    </w:p>
    <w:p w:rsidR="00000000" w:rsidDel="00000000" w:rsidP="00000000" w:rsidRDefault="00000000" w:rsidRPr="00000000" w14:paraId="00000046">
      <w:pPr>
        <w:pageBreakBefore w:val="0"/>
        <w:ind w:right="-360"/>
        <w:jc w:val="both"/>
        <w:rPr>
          <w:rFonts w:ascii="Lato" w:cs="Lato" w:eastAsia="Lato" w:hAnsi="Lato"/>
          <w:color w:val="434344"/>
          <w:sz w:val="24"/>
          <w:szCs w:val="24"/>
        </w:rPr>
      </w:pPr>
      <w:r w:rsidDel="00000000" w:rsidR="00000000" w:rsidRPr="00000000">
        <w:rPr>
          <w:rFonts w:ascii="Lato" w:cs="Lato" w:eastAsia="Lato" w:hAnsi="Lato"/>
          <w:color w:val="434344"/>
          <w:sz w:val="24"/>
          <w:szCs w:val="24"/>
          <w:rtl w:val="0"/>
        </w:rPr>
        <w:t xml:space="preserve">____________________________________</w:t>
        <w:tab/>
        <w:tab/>
        <w:t xml:space="preserve">____________________________</w:t>
      </w:r>
    </w:p>
    <w:p w:rsidR="00000000" w:rsidDel="00000000" w:rsidP="00000000" w:rsidRDefault="00000000" w:rsidRPr="00000000" w14:paraId="00000047">
      <w:pPr>
        <w:pageBreakBefore w:val="0"/>
        <w:ind w:right="-360"/>
        <w:jc w:val="both"/>
        <w:rPr>
          <w:rFonts w:ascii="Lato" w:cs="Lato" w:eastAsia="Lato" w:hAnsi="Lato"/>
          <w:b w:val="1"/>
          <w:color w:val="434344"/>
          <w:sz w:val="24"/>
          <w:szCs w:val="24"/>
        </w:rPr>
      </w:pPr>
      <w:r w:rsidDel="00000000" w:rsidR="00000000" w:rsidRPr="00000000">
        <w:rPr>
          <w:rFonts w:ascii="Lato" w:cs="Lato" w:eastAsia="Lato" w:hAnsi="Lato"/>
          <w:b w:val="1"/>
          <w:color w:val="434344"/>
          <w:sz w:val="24"/>
          <w:szCs w:val="24"/>
          <w:rtl w:val="0"/>
        </w:rPr>
        <w:t xml:space="preserve">Name and Title</w:t>
        <w:tab/>
        <w:tab/>
        <w:tab/>
        <w:tab/>
        <w:tab/>
        <w:t xml:space="preserve">Date</w:t>
      </w:r>
    </w:p>
    <w:p w:rsidR="00000000" w:rsidDel="00000000" w:rsidP="00000000" w:rsidRDefault="00000000" w:rsidRPr="00000000" w14:paraId="00000048">
      <w:pPr>
        <w:pageBreakBefore w:val="0"/>
        <w:ind w:right="-360"/>
        <w:jc w:val="both"/>
        <w:rPr>
          <w:rFonts w:ascii="Lato" w:cs="Lato" w:eastAsia="Lato" w:hAnsi="Lato"/>
          <w:color w:val="434344"/>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5840" w:w="12240" w:orient="portrait"/>
      <w:pgMar w:bottom="1440" w:top="1440" w:left="108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ind w:left="-1080" w:firstLine="0"/>
      <w:jc w:val="center"/>
      <w:rPr>
        <w:rFonts w:ascii="Lato" w:cs="Lato" w:eastAsia="Lato" w:hAnsi="Lato"/>
        <w:sz w:val="16"/>
        <w:szCs w:val="1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-666749</wp:posOffset>
          </wp:positionH>
          <wp:positionV relativeFrom="paragraph">
            <wp:posOffset>-62483</wp:posOffset>
          </wp:positionV>
          <wp:extent cx="7749138" cy="816216"/>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49138" cy="816216"/>
                  </a:xfrm>
                  <a:prstGeom prst="rect"/>
                  <a:ln/>
                </pic:spPr>
              </pic:pic>
            </a:graphicData>
          </a:graphic>
        </wp:anchor>
      </w:drawing>
    </w:r>
  </w:p>
  <w:p w:rsidR="00000000" w:rsidDel="00000000" w:rsidP="00000000" w:rsidRDefault="00000000" w:rsidRPr="00000000" w14:paraId="0000004B">
    <w:pPr>
      <w:ind w:left="-1080" w:firstLine="0"/>
      <w:jc w:val="center"/>
      <w:rPr>
        <w:rFonts w:ascii="Lato" w:cs="Lato" w:eastAsia="Lato" w:hAnsi="Lato"/>
        <w:color w:val="434344"/>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ind w:left="-1080" w:right="-144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Black-bold.ttf"/><Relationship Id="rId6" Type="http://schemas.openxmlformats.org/officeDocument/2006/relationships/font" Target="fonts/LatoBlac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KfQSQxEO7aUW141wpAuuARIvDA==">AMUW2mWqj9wszdvf/8djc71Bxuq15Yu731Dcmd2S96pWqByZGrMOe1e4FmP14Z/Jlsx3+0WWfIB5wRPgMZf3AnzuMVuJnTMr9jkw0voJ8RKqK67077Im0v4=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